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6213" w:rsidRPr="00315322" w:rsidRDefault="000E6213" w:rsidP="000E6213">
      <w:pPr>
        <w:spacing w:after="0" w:line="240" w:lineRule="auto"/>
        <w:ind w:left="7080" w:hanging="276"/>
        <w:jc w:val="center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Załącznik nr 3 do SWZ</w:t>
      </w:r>
    </w:p>
    <w:p w:rsidR="000E6213" w:rsidRPr="00315322" w:rsidRDefault="000E6213" w:rsidP="000E6213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eastAsia="ar-SA"/>
        </w:rPr>
        <w:t>Nazwa Wykonawcy</w:t>
      </w:r>
      <w:r w:rsidRPr="00315322">
        <w:rPr>
          <w:rFonts w:eastAsia="Calibri" w:cs="Arial"/>
          <w:kern w:val="0"/>
          <w:sz w:val="20"/>
          <w:szCs w:val="20"/>
          <w:lang w:eastAsia="ar-SA"/>
        </w:rPr>
        <w:t xml:space="preserve"> </w:t>
      </w:r>
    </w:p>
    <w:p w:rsidR="000E6213" w:rsidRPr="00315322" w:rsidRDefault="000E6213" w:rsidP="000E6213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        </w:t>
      </w:r>
    </w:p>
    <w:p w:rsidR="000E6213" w:rsidRPr="00315322" w:rsidRDefault="000E6213" w:rsidP="000E6213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</w:p>
    <w:p w:rsidR="000E6213" w:rsidRPr="00315322" w:rsidRDefault="000E6213" w:rsidP="000E6213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Adres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</w:t>
      </w:r>
    </w:p>
    <w:p w:rsidR="000E6213" w:rsidRPr="00315322" w:rsidRDefault="000E6213" w:rsidP="000E6213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REGON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</w:t>
      </w:r>
    </w:p>
    <w:p w:rsidR="000E6213" w:rsidRPr="00315322" w:rsidRDefault="000E6213" w:rsidP="000E6213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NIP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0E6213" w:rsidRPr="00315322" w:rsidRDefault="000E6213" w:rsidP="000E6213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>KRS/CEIDG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…………………………………………….</w:t>
      </w:r>
    </w:p>
    <w:p w:rsidR="000E6213" w:rsidRPr="00315322" w:rsidRDefault="000E6213" w:rsidP="000E6213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Tel.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e-mail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……………………………………………………</w:t>
      </w: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center"/>
        <w:rPr>
          <w:rFonts w:eastAsia="Calibri" w:cs="Arial"/>
          <w:b/>
          <w:kern w:val="0"/>
          <w:sz w:val="20"/>
          <w:szCs w:val="20"/>
          <w:lang w:eastAsia="pl-PL"/>
        </w:rPr>
      </w:pPr>
      <w:r w:rsidRPr="00315322">
        <w:rPr>
          <w:rFonts w:eastAsia="Calibri" w:cs="Arial"/>
          <w:b/>
          <w:kern w:val="0"/>
          <w:sz w:val="20"/>
          <w:szCs w:val="20"/>
          <w:lang w:eastAsia="pl-PL"/>
        </w:rPr>
        <w:t>OŚWIADCZENIE</w:t>
      </w:r>
    </w:p>
    <w:p w:rsidR="000E6213" w:rsidRPr="00315322" w:rsidRDefault="000E6213" w:rsidP="000E6213">
      <w:pPr>
        <w:spacing w:after="0" w:line="240" w:lineRule="auto"/>
        <w:jc w:val="center"/>
        <w:rPr>
          <w:rFonts w:eastAsia="Times New Roman" w:cs="Arial"/>
          <w:b/>
          <w:kern w:val="0"/>
          <w:sz w:val="20"/>
          <w:szCs w:val="20"/>
          <w:shd w:val="clear" w:color="auto" w:fill="FFFFFF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Oświadczenie </w:t>
      </w:r>
      <w:r w:rsidRPr="00315322">
        <w:rPr>
          <w:rFonts w:eastAsia="Times New Roman" w:cs="Arial"/>
          <w:b/>
          <w:kern w:val="0"/>
          <w:sz w:val="20"/>
          <w:szCs w:val="20"/>
          <w:shd w:val="clear" w:color="auto" w:fill="FFFFFF"/>
          <w:lang w:eastAsia="pl-PL"/>
        </w:rPr>
        <w:t>o braku podstaw wykluczenia z postępowania wykonawcy</w:t>
      </w:r>
    </w:p>
    <w:p w:rsidR="000E6213" w:rsidRPr="00315322" w:rsidRDefault="000E6213" w:rsidP="000E6213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shd w:val="clear" w:color="auto" w:fill="FFFFFF"/>
          <w:lang w:eastAsia="pl-PL"/>
        </w:rPr>
        <w:t xml:space="preserve">składane na podstawie </w:t>
      </w: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 xml:space="preserve">art. 125 ust. 1 </w:t>
      </w:r>
      <w:r w:rsidRPr="00315322">
        <w:rPr>
          <w:rFonts w:eastAsia="Times New Roman" w:cs="Arial"/>
          <w:b/>
          <w:bCs/>
          <w:kern w:val="0"/>
          <w:sz w:val="20"/>
          <w:szCs w:val="20"/>
          <w:shd w:val="clear" w:color="auto" w:fill="FFFFFF"/>
          <w:lang w:eastAsia="pl-PL"/>
        </w:rPr>
        <w:t xml:space="preserve">ustawy </w:t>
      </w: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 xml:space="preserve">z dnia 11 września 2019 r. </w:t>
      </w:r>
    </w:p>
    <w:p w:rsidR="000E6213" w:rsidRPr="00315322" w:rsidRDefault="000E6213" w:rsidP="000E6213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>- Prawo zamówień publicznych (Dz.U. z 2024 r. poz. 1320)</w:t>
      </w:r>
    </w:p>
    <w:p w:rsidR="000E6213" w:rsidRPr="00315322" w:rsidRDefault="000E6213" w:rsidP="000E6213">
      <w:pPr>
        <w:spacing w:after="0" w:line="276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276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numPr>
          <w:ilvl w:val="0"/>
          <w:numId w:val="1"/>
        </w:numPr>
        <w:tabs>
          <w:tab w:val="left" w:pos="426"/>
        </w:tabs>
        <w:spacing w:after="240" w:line="312" w:lineRule="auto"/>
        <w:ind w:left="426" w:hanging="426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Uprawniony do reprezentowania wykonawcy ………………………… w postępowaniu o udzielenie zamówienia publicznego prowadzonego w trybie podstawowym bez negocjacji na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</w:t>
      </w:r>
      <w:r w:rsidRPr="000E6213">
        <w:rPr>
          <w:rFonts w:eastAsia="Times New Roman" w:cs="Arial"/>
          <w:b/>
          <w:kern w:val="0"/>
          <w:sz w:val="20"/>
          <w:szCs w:val="20"/>
          <w:lang w:eastAsia="pl-PL"/>
        </w:rPr>
        <w:t>dostawę oprogramowania z systemem informacji prawnej wraz z licencją na korzystanie na potrzeby Sądu Rejonowego w Bydgoszczy – na okres 12 miesięcy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,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oznaczenie sprawy: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OG.261.1</w:t>
      </w:r>
      <w:r>
        <w:rPr>
          <w:rFonts w:eastAsia="Times New Roman" w:cs="Arial"/>
          <w:b/>
          <w:kern w:val="0"/>
          <w:sz w:val="20"/>
          <w:szCs w:val="20"/>
          <w:lang w:eastAsia="pl-PL"/>
        </w:rPr>
        <w:t>5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.2025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prowadzonego przez Sąd Rejonowy w Bydgoszczy, </w:t>
      </w: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>oświadczam, że nie podlegam wykluczeniu z postępowania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 w zakresie podstaw wykluczenia wymienionych w</w:t>
      </w:r>
    </w:p>
    <w:p w:rsidR="000E6213" w:rsidRPr="00315322" w:rsidRDefault="000E6213" w:rsidP="000E621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kern w:val="0"/>
          <w:sz w:val="20"/>
          <w:szCs w:val="20"/>
          <w:shd w:val="clear" w:color="auto" w:fill="FFFFFF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-  </w:t>
      </w:r>
      <w:r w:rsidRPr="00315322">
        <w:rPr>
          <w:rFonts w:eastAsia="Times New Roman" w:cs="Arial"/>
          <w:kern w:val="0"/>
          <w:sz w:val="20"/>
          <w:szCs w:val="20"/>
          <w:shd w:val="clear" w:color="auto" w:fill="FFFFFF"/>
          <w:lang w:eastAsia="pl-PL"/>
        </w:rPr>
        <w:t xml:space="preserve">art. 108 ust. 1 oraz </w:t>
      </w:r>
    </w:p>
    <w:p w:rsidR="000E6213" w:rsidRPr="00315322" w:rsidRDefault="000E6213" w:rsidP="000E621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shd w:val="clear" w:color="auto" w:fill="FFFFFF"/>
          <w:lang w:eastAsia="pl-PL"/>
        </w:rPr>
        <w:t xml:space="preserve">- art. 109 ust. 1 pkt 4,  ustawy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>z dnia 11 września 2019 r. - Prawo zamówień publicznych.</w:t>
      </w:r>
    </w:p>
    <w:p w:rsidR="000E6213" w:rsidRPr="00315322" w:rsidRDefault="000E6213" w:rsidP="000E621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-  art. 7 ust. 1 ustawy z dnia 13 kwietnia 2022 r. o szczególnych rozwiązaniach w zakresie przeciwdziałania wspieraniu agresji na Ukrainę oraz służących ochronie bezpieczeństwa narodowego (Dz. U. z 2022 r., poz. 835).</w:t>
      </w:r>
    </w:p>
    <w:p w:rsidR="000E6213" w:rsidRPr="00315322" w:rsidRDefault="000E6213" w:rsidP="000E621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Jeżeli w stosunku do wykonawcy zachodzą podstawy wykluczenia z postępowania </w:t>
      </w:r>
    </w:p>
    <w:p w:rsidR="000E6213" w:rsidRPr="00315322" w:rsidRDefault="000E6213" w:rsidP="000E621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spośród </w:t>
      </w:r>
      <w:r w:rsidRPr="00315322">
        <w:rPr>
          <w:rFonts w:eastAsia="Times New Roman" w:cs="Arial"/>
          <w:i/>
          <w:iCs/>
          <w:kern w:val="0"/>
          <w:sz w:val="20"/>
          <w:szCs w:val="20"/>
          <w:shd w:val="clear" w:color="auto" w:fill="FFFFFF"/>
          <w:lang w:eastAsia="pl-PL"/>
        </w:rPr>
        <w:t>wskazanych przez zamawiającego</w:t>
      </w:r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 wymienionych w art. 109 ust. 1 pkt 4 </w:t>
      </w:r>
      <w:proofErr w:type="spellStart"/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>Pzp</w:t>
      </w:r>
      <w:proofErr w:type="spellEnd"/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, </w:t>
      </w:r>
    </w:p>
    <w:p w:rsidR="000E6213" w:rsidRPr="00315322" w:rsidRDefault="000E6213" w:rsidP="000E621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>wykonawca wypełnia ust. 2 niniejszego oświadczenia (poniżej)</w:t>
      </w:r>
    </w:p>
    <w:p w:rsidR="000E6213" w:rsidRPr="00315322" w:rsidRDefault="000E6213" w:rsidP="000E6213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numPr>
          <w:ilvl w:val="0"/>
          <w:numId w:val="1"/>
        </w:numPr>
        <w:tabs>
          <w:tab w:val="left" w:pos="426"/>
        </w:tabs>
        <w:spacing w:after="240" w:line="312" w:lineRule="auto"/>
        <w:ind w:left="426" w:hanging="426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Uprawniony do reprezentowania wykonawcy ………………………… w postępowaniu o udzielenie zamówienia publicznego na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</w:t>
      </w:r>
      <w:r w:rsidRPr="000E6213">
        <w:rPr>
          <w:rFonts w:eastAsia="Times New Roman" w:cs="Arial"/>
          <w:b/>
          <w:kern w:val="0"/>
          <w:sz w:val="20"/>
          <w:szCs w:val="20"/>
          <w:lang w:eastAsia="pl-PL"/>
        </w:rPr>
        <w:t>dostawę oprogramowania z systemem informacji prawnej wraz z licencją na korzystanie na potrzeby Sądu Rejonowego w Bydgoszczy – na okres 12 miesięcy</w:t>
      </w:r>
      <w:r w:rsidRPr="000E6213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y,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oznaczenie sprawy: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OG.261.1</w:t>
      </w:r>
      <w:r>
        <w:rPr>
          <w:rFonts w:eastAsia="Times New Roman" w:cs="Arial"/>
          <w:b/>
          <w:kern w:val="0"/>
          <w:sz w:val="20"/>
          <w:szCs w:val="20"/>
          <w:lang w:eastAsia="pl-PL"/>
        </w:rPr>
        <w:t>5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.2025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prowadzonego przez Sąd Rejonowy w Bydgoszczy, </w:t>
      </w: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 xml:space="preserve">oświadczam, że zachodzą w stosunku do mnie podstawy wykluczenia z postępowania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w zakresie podstaw wykluczenia </w:t>
      </w:r>
      <w:r w:rsidRPr="00315322">
        <w:rPr>
          <w:rFonts w:eastAsia="Times New Roman" w:cs="Arial"/>
          <w:kern w:val="0"/>
          <w:sz w:val="20"/>
          <w:szCs w:val="20"/>
          <w:shd w:val="clear" w:color="auto" w:fill="FFFFFF"/>
          <w:lang w:eastAsia="pl-PL"/>
        </w:rPr>
        <w:t>wskazanych przez zamawiającego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 wymienionych w art. 109 ust. 1 pkt ……… </w:t>
      </w:r>
      <w:proofErr w:type="spellStart"/>
      <w:r w:rsidRPr="00315322">
        <w:rPr>
          <w:rFonts w:eastAsia="Times New Roman" w:cs="Arial"/>
          <w:kern w:val="0"/>
          <w:sz w:val="20"/>
          <w:szCs w:val="20"/>
          <w:lang w:eastAsia="pl-PL"/>
        </w:rPr>
        <w:t>Pzp</w:t>
      </w:r>
      <w:proofErr w:type="spellEnd"/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 </w:t>
      </w:r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(podać mającą zastosowanie podstawę wykluczenia z postępowania spośród </w:t>
      </w:r>
      <w:r w:rsidRPr="00315322">
        <w:rPr>
          <w:rFonts w:eastAsia="Times New Roman" w:cs="Arial"/>
          <w:i/>
          <w:iCs/>
          <w:kern w:val="0"/>
          <w:sz w:val="20"/>
          <w:szCs w:val="20"/>
          <w:shd w:val="clear" w:color="auto" w:fill="FFFFFF"/>
          <w:lang w:eastAsia="pl-PL"/>
        </w:rPr>
        <w:t>wskazanych przez zamawiającego</w:t>
      </w:r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 wymienionych w art. 109 ust. 1 </w:t>
      </w:r>
      <w:proofErr w:type="spellStart"/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>Pzp</w:t>
      </w:r>
      <w:proofErr w:type="spellEnd"/>
      <w:r w:rsidRPr="00315322">
        <w:rPr>
          <w:rFonts w:eastAsia="Times New Roman" w:cs="Arial"/>
          <w:i/>
          <w:iCs/>
          <w:kern w:val="0"/>
          <w:sz w:val="20"/>
          <w:szCs w:val="20"/>
          <w:lang w:eastAsia="pl-PL"/>
        </w:rPr>
        <w:t xml:space="preserve">). </w:t>
      </w:r>
    </w:p>
    <w:p w:rsidR="000E6213" w:rsidRPr="00315322" w:rsidRDefault="000E6213" w:rsidP="000E6213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lastRenderedPageBreak/>
        <w:t xml:space="preserve">Jednocześnie oświadczam, że na podstawie art. 110 ust. 2 </w:t>
      </w:r>
      <w:proofErr w:type="spellStart"/>
      <w:r w:rsidRPr="00315322">
        <w:rPr>
          <w:rFonts w:eastAsia="Times New Roman" w:cs="Arial"/>
          <w:kern w:val="0"/>
          <w:sz w:val="20"/>
          <w:szCs w:val="20"/>
          <w:lang w:eastAsia="pl-PL"/>
        </w:rPr>
        <w:t>Pzp</w:t>
      </w:r>
      <w:proofErr w:type="spellEnd"/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 w celu wykazania swojej rzetelności pomimo istnienia odpowiedniej podstawy wykluczenia wykonawca przedsięwziął następujące środki („samooczyszczenie”):</w:t>
      </w:r>
    </w:p>
    <w:p w:rsidR="000E6213" w:rsidRPr="00315322" w:rsidRDefault="000E6213" w:rsidP="000E621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0E6213" w:rsidRPr="00315322" w:rsidRDefault="000E6213" w:rsidP="000E621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0E6213" w:rsidRPr="00315322" w:rsidRDefault="000E6213" w:rsidP="000E621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OŚWIADCZENIE DOTYCZĄCE PODANYCH INFORMACJI:</w:t>
      </w: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0E6213" w:rsidRPr="00315322" w:rsidRDefault="000E6213" w:rsidP="000E6213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0E6213" w:rsidRPr="00315322" w:rsidTr="0034153A">
        <w:tc>
          <w:tcPr>
            <w:tcW w:w="9212" w:type="dxa"/>
          </w:tcPr>
          <w:p w:rsidR="000E6213" w:rsidRPr="00315322" w:rsidRDefault="000E6213" w:rsidP="0034153A">
            <w:pPr>
              <w:spacing w:after="0" w:line="240" w:lineRule="auto"/>
              <w:jc w:val="center"/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</w:rPr>
            </w:pPr>
          </w:p>
          <w:p w:rsidR="000E6213" w:rsidRPr="00315322" w:rsidRDefault="000E6213" w:rsidP="0034153A">
            <w:pPr>
              <w:spacing w:after="0" w:line="240" w:lineRule="auto"/>
              <w:jc w:val="center"/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</w:pPr>
            <w:r w:rsidRPr="00315322"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315322"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  <w:t>ami</w:t>
            </w:r>
            <w:proofErr w:type="spellEnd"/>
            <w:r w:rsidRPr="00315322"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:rsidR="000E6213" w:rsidRPr="00315322" w:rsidRDefault="000E6213" w:rsidP="0034153A">
            <w:pPr>
              <w:spacing w:after="0" w:line="240" w:lineRule="auto"/>
              <w:jc w:val="center"/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0E6213" w:rsidRDefault="000E6213"/>
    <w:sectPr w:rsidR="000E6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13"/>
    <w:rsid w:val="000E6213"/>
    <w:rsid w:val="0011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B879"/>
  <w15:chartTrackingRefBased/>
  <w15:docId w15:val="{41572DA6-A42C-44AC-955F-A21EF834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213"/>
  </w:style>
  <w:style w:type="paragraph" w:styleId="Nagwek1">
    <w:name w:val="heading 1"/>
    <w:basedOn w:val="Normalny"/>
    <w:next w:val="Normalny"/>
    <w:link w:val="Nagwek1Znak"/>
    <w:uiPriority w:val="9"/>
    <w:qFormat/>
    <w:rsid w:val="000E6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6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62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6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62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6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6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6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6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62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6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62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62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62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62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62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62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62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6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6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6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6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6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62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62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62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6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62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62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2025-11-23T21:45:00Z</dcterms:created>
  <dcterms:modified xsi:type="dcterms:W3CDTF">2025-11-23T21:46:00Z</dcterms:modified>
</cp:coreProperties>
</file>